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24"/>
        </w:rPr>
      </w:pPr>
    </w:p>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864" w:hRule="atLeast"/>
        </w:trPr>
        <w:tc>
          <w:tcPr>
            <w:tcW w:w="8336" w:type="dxa"/>
            <w:tcBorders>
              <w:top w:val="nil"/>
              <w:left w:val="nil"/>
              <w:bottom w:val="nil"/>
              <w:right w:val="nil"/>
            </w:tcBorders>
            <w:vAlign w:val="center"/>
          </w:tcPr>
          <w:p>
            <w:pPr>
              <w:widowControl/>
              <w:jc w:val="center"/>
              <w:rPr>
                <w:rFonts w:hint="eastAsia" w:ascii="仿宋" w:hAnsi="仿宋" w:eastAsia="仿宋" w:cs="仿宋"/>
                <w:kern w:val="0"/>
                <w:sz w:val="24"/>
              </w:rPr>
            </w:pPr>
            <w:r>
              <w:rPr>
                <w:rFonts w:hint="eastAsia" w:ascii="仿宋" w:hAnsi="仿宋" w:eastAsia="仿宋" w:cs="仿宋"/>
                <w:b/>
                <w:bCs/>
                <w:kern w:val="0"/>
                <w:sz w:val="32"/>
                <w:szCs w:val="32"/>
              </w:rPr>
              <w:t>贵州大学硕士研究生入学考试大纲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c>
          <w:tcPr>
            <w:tcW w:w="8336" w:type="dxa"/>
            <w:tcBorders>
              <w:top w:val="nil"/>
              <w:left w:val="nil"/>
              <w:bottom w:val="nil"/>
              <w:right w:val="nil"/>
            </w:tcBorders>
            <w:vAlign w:val="center"/>
          </w:tcPr>
          <w:p>
            <w:pPr>
              <w:widowControl/>
              <w:jc w:val="left"/>
              <w:rPr>
                <w:rFonts w:hint="eastAsia" w:ascii="仿宋" w:hAnsi="仿宋" w:eastAsia="仿宋" w:cs="仿宋"/>
                <w:kern w:val="0"/>
                <w:sz w:val="24"/>
              </w:rPr>
            </w:pPr>
            <w:r>
              <w:rPr>
                <w:rFonts w:hint="eastAsia" w:ascii="仿宋" w:hAnsi="仿宋" w:eastAsia="仿宋" w:cs="仿宋"/>
                <w:kern w:val="0"/>
                <w:sz w:val="28"/>
                <w:szCs w:val="28"/>
              </w:rPr>
              <w:t>考试科目代码/名称：</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u w:val="single"/>
                <w:lang w:val="en-US" w:eastAsia="zh-CN"/>
              </w:rPr>
              <w:t>664</w:t>
            </w:r>
            <w:r>
              <w:rPr>
                <w:rFonts w:hint="eastAsia" w:ascii="仿宋" w:hAnsi="仿宋" w:eastAsia="仿宋" w:cs="仿宋"/>
                <w:kern w:val="0"/>
                <w:sz w:val="28"/>
                <w:szCs w:val="28"/>
                <w:u w:val="single"/>
              </w:rPr>
              <w:t xml:space="preserve"> /民族音乐学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c>
          <w:tcPr>
            <w:tcW w:w="8336" w:type="dxa"/>
            <w:tcBorders>
              <w:top w:val="outset" w:color="auto" w:sz="6" w:space="0"/>
              <w:left w:val="outset" w:color="auto" w:sz="6" w:space="0"/>
              <w:bottom w:val="outset" w:color="auto" w:sz="6" w:space="0"/>
              <w:right w:val="outset" w:color="auto" w:sz="6" w:space="0"/>
            </w:tcBorders>
            <w:vAlign w:val="center"/>
          </w:tcPr>
          <w:p>
            <w:pPr>
              <w:widowControl/>
              <w:spacing w:line="480" w:lineRule="exact"/>
              <w:jc w:val="left"/>
              <w:rPr>
                <w:rFonts w:hint="eastAsia" w:ascii="仿宋" w:hAnsi="仿宋" w:eastAsia="仿宋" w:cs="仿宋"/>
                <w:kern w:val="0"/>
                <w:sz w:val="24"/>
                <w:szCs w:val="24"/>
              </w:rPr>
            </w:pPr>
            <w:r>
              <w:rPr>
                <w:rFonts w:hint="eastAsia" w:ascii="仿宋" w:hAnsi="仿宋" w:eastAsia="仿宋" w:cs="仿宋"/>
                <w:b/>
                <w:kern w:val="0"/>
                <w:sz w:val="24"/>
                <w:szCs w:val="24"/>
              </w:rPr>
              <w:t xml:space="preserve">一、考试基本要求 </w:t>
            </w:r>
            <w:r>
              <w:rPr>
                <w:rFonts w:hint="eastAsia" w:ascii="仿宋" w:hAnsi="仿宋" w:eastAsia="仿宋" w:cs="仿宋"/>
                <w:kern w:val="0"/>
                <w:sz w:val="24"/>
                <w:szCs w:val="24"/>
              </w:rPr>
              <w:t xml:space="preserve"> </w:t>
            </w:r>
            <w:bookmarkStart w:id="0" w:name="_GoBack"/>
            <w:bookmarkEnd w:id="0"/>
          </w:p>
          <w:p>
            <w:pPr>
              <w:widowControl/>
              <w:spacing w:line="480" w:lineRule="exact"/>
              <w:ind w:firstLine="480" w:firstLineChars="2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sz w:val="24"/>
                <w:szCs w:val="24"/>
              </w:rPr>
              <w:t>《民族音乐学》是贵州大学音乐学院艺术学专业（民族民间音乐传承与保护方向）硕士研究生入学考试初试科目之一。</w:t>
            </w:r>
            <w:r>
              <w:rPr>
                <w:rFonts w:hint="eastAsia" w:ascii="仿宋" w:hAnsi="仿宋" w:eastAsia="仿宋" w:cs="仿宋"/>
                <w:color w:val="000000" w:themeColor="text1"/>
                <w:kern w:val="0"/>
                <w:sz w:val="24"/>
                <w:szCs w:val="24"/>
                <w14:textFill>
                  <w14:solidFill>
                    <w14:schemeClr w14:val="tx1"/>
                  </w14:solidFill>
                </w14:textFill>
              </w:rPr>
              <w:t>本科目考试着重考核学生对民族音乐学学科相关知识的掌握，要求考生掌握</w:t>
            </w:r>
            <w:r>
              <w:rPr>
                <w:rFonts w:hint="eastAsia" w:ascii="仿宋" w:hAnsi="仿宋" w:eastAsia="仿宋" w:cs="仿宋"/>
                <w:color w:val="000000" w:themeColor="text1"/>
                <w:sz w:val="24"/>
                <w:szCs w:val="24"/>
                <w14:textFill>
                  <w14:solidFill>
                    <w14:schemeClr w14:val="tx1"/>
                  </w14:solidFill>
                </w14:textFill>
              </w:rPr>
              <w:t>民族音乐学历史发展和定义、民族音乐学与相关的学科、民族音乐学的方法论观念、实地调查的理论和方法、民族音乐学的学术论文及其写作要点等重要内容。同时需关注民族音乐学研究的新动向和热点话题，并能综合运用民族音乐学相关理论知识设计田野调查提纲和具备一定的对民族音乐个案的分析理解能力。</w:t>
            </w:r>
          </w:p>
          <w:p>
            <w:pPr>
              <w:spacing w:line="220" w:lineRule="atLeast"/>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二、</w:t>
            </w:r>
            <w:r>
              <w:rPr>
                <w:rFonts w:hint="eastAsia" w:ascii="仿宋" w:hAnsi="仿宋" w:eastAsia="仿宋" w:cs="仿宋"/>
                <w:b/>
                <w:color w:val="000000" w:themeColor="text1"/>
                <w:kern w:val="0"/>
                <w:sz w:val="24"/>
                <w:szCs w:val="24"/>
                <w14:textFill>
                  <w14:solidFill>
                    <w14:schemeClr w14:val="tx1"/>
                  </w14:solidFill>
                </w14:textFill>
              </w:rPr>
              <w:t>适用范围</w:t>
            </w:r>
          </w:p>
          <w:p>
            <w:pPr>
              <w:widowControl/>
              <w:ind w:firstLine="480"/>
              <w:jc w:val="left"/>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适用于艺术学专业（民族音乐保护与传承方向）</w:t>
            </w:r>
          </w:p>
          <w:p>
            <w:pPr>
              <w:widowControl/>
              <w:ind w:firstLine="480"/>
              <w:jc w:val="left"/>
              <w:rPr>
                <w:rFonts w:hint="eastAsia" w:ascii="仿宋" w:hAnsi="仿宋" w:eastAsia="仿宋" w:cs="仿宋"/>
                <w:color w:val="000000" w:themeColor="text1"/>
                <w:kern w:val="0"/>
                <w:sz w:val="24"/>
                <w:szCs w:val="24"/>
                <w14:textFill>
                  <w14:solidFill>
                    <w14:schemeClr w14:val="tx1"/>
                  </w14:solidFill>
                </w14:textFill>
              </w:rPr>
            </w:pPr>
          </w:p>
          <w:p>
            <w:pPr>
              <w:widowControl/>
              <w:spacing w:line="480" w:lineRule="exact"/>
              <w:jc w:val="left"/>
              <w:rPr>
                <w:rFonts w:hint="eastAsia" w:ascii="仿宋" w:hAnsi="仿宋" w:eastAsia="仿宋" w:cs="仿宋"/>
                <w:b/>
                <w:color w:val="000000" w:themeColor="text1"/>
                <w:kern w:val="0"/>
                <w:sz w:val="24"/>
                <w:szCs w:val="24"/>
                <w14:textFill>
                  <w14:solidFill>
                    <w14:schemeClr w14:val="tx1"/>
                  </w14:solidFill>
                </w14:textFill>
              </w:rPr>
            </w:pPr>
            <w:r>
              <w:rPr>
                <w:rFonts w:hint="eastAsia" w:ascii="仿宋" w:hAnsi="仿宋" w:eastAsia="仿宋" w:cs="仿宋"/>
                <w:b/>
                <w:color w:val="000000" w:themeColor="text1"/>
                <w:kern w:val="0"/>
                <w:sz w:val="24"/>
                <w:szCs w:val="24"/>
                <w14:textFill>
                  <w14:solidFill>
                    <w14:schemeClr w14:val="tx1"/>
                  </w14:solidFill>
                </w14:textFill>
              </w:rPr>
              <w:t>三、考试形式</w:t>
            </w:r>
          </w:p>
          <w:p>
            <w:pPr>
              <w:widowControl/>
              <w:spacing w:line="480" w:lineRule="exact"/>
              <w:jc w:val="left"/>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 xml:space="preserve">     闭卷，180分钟</w:t>
            </w:r>
          </w:p>
          <w:p>
            <w:pPr>
              <w:widowControl/>
              <w:spacing w:line="480" w:lineRule="exact"/>
              <w:jc w:val="left"/>
              <w:rPr>
                <w:rFonts w:hint="eastAsia" w:ascii="仿宋" w:hAnsi="仿宋" w:eastAsia="仿宋" w:cs="仿宋"/>
                <w:color w:val="000000" w:themeColor="text1"/>
                <w:kern w:val="0"/>
                <w:sz w:val="24"/>
                <w:szCs w:val="24"/>
                <w14:textFill>
                  <w14:solidFill>
                    <w14:schemeClr w14:val="tx1"/>
                  </w14:solidFill>
                </w14:textFill>
              </w:rPr>
            </w:pPr>
          </w:p>
          <w:p>
            <w:pPr>
              <w:widowControl/>
              <w:spacing w:line="480" w:lineRule="exact"/>
              <w:jc w:val="left"/>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b/>
                <w:color w:val="000000" w:themeColor="text1"/>
                <w:kern w:val="0"/>
                <w:sz w:val="24"/>
                <w:szCs w:val="24"/>
                <w14:textFill>
                  <w14:solidFill>
                    <w14:schemeClr w14:val="tx1"/>
                  </w14:solidFill>
                </w14:textFill>
              </w:rPr>
              <w:t xml:space="preserve">四、考试内容和考试要求 </w:t>
            </w:r>
          </w:p>
          <w:p>
            <w:pPr>
              <w:widowControl/>
              <w:spacing w:line="480" w:lineRule="exact"/>
              <w:ind w:left="630" w:leftChars="3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引言</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第一章　民族音乐学历史发展及其定义</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一、学科名称来源和历史发展</w:t>
            </w:r>
          </w:p>
          <w:p>
            <w:pPr>
              <w:widowControl/>
              <w:spacing w:line="480" w:lineRule="exact"/>
              <w:ind w:left="630" w:hanging="720" w:hangingChars="30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1.学科名称来源</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2.民族音乐学历史发展</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3.民族音乐学研究在中国的兴起</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二、学科定义、性质、研究对象和范围</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1.定义</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2.性质、研究对象和范围</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第二章　民族音乐学与相关学科</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一、民族音乐学在音乐理论科学及音乐学中的位置</w:t>
            </w:r>
          </w:p>
          <w:p>
            <w:pPr>
              <w:pStyle w:val="4"/>
              <w:numPr>
                <w:ilvl w:val="0"/>
                <w:numId w:val="1"/>
              </w:numPr>
              <w:spacing w:line="480" w:lineRule="exact"/>
              <w:ind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音乐理论科学体系中的民族音乐学</w:t>
            </w:r>
          </w:p>
          <w:p>
            <w:pPr>
              <w:pStyle w:val="4"/>
              <w:numPr>
                <w:ilvl w:val="0"/>
                <w:numId w:val="1"/>
              </w:numPr>
              <w:spacing w:line="480" w:lineRule="exact"/>
              <w:ind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民族音乐学与音乐学中其他分支学科之关系</w:t>
            </w:r>
          </w:p>
          <w:p>
            <w:pPr>
              <w:spacing w:line="480" w:lineRule="exact"/>
              <w:ind w:left="975" w:leftChars="350" w:hanging="240" w:hanging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二、民族音乐学与社会科学领域非音乐理论学科之关系</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1.民族音乐学与人类学</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2.民族音乐学与民族学</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3.民族音乐学与社会学</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4.民族音乐学与民俗学</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5.民族音乐学与地理学</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6.民族音乐学与语言学</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第三章 民族音乐学的方法论观念</w:t>
            </w:r>
          </w:p>
          <w:p>
            <w:pPr>
              <w:spacing w:line="480" w:lineRule="exact"/>
              <w:ind w:left="975" w:leftChars="350" w:hanging="240" w:hanging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一、主体观</w:t>
            </w:r>
          </w:p>
          <w:p>
            <w:pPr>
              <w:spacing w:line="480" w:lineRule="exact"/>
              <w:ind w:left="945" w:leftChars="450" w:firstLine="120" w:firstLine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 音乐对象主体的形式</w:t>
            </w:r>
          </w:p>
          <w:p>
            <w:pPr>
              <w:spacing w:line="480" w:lineRule="exact"/>
              <w:ind w:left="945" w:leftChars="450" w:firstLine="120" w:firstLine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 音乐对象主体的内容</w:t>
            </w:r>
          </w:p>
          <w:p>
            <w:pPr>
              <w:spacing w:line="480" w:lineRule="exact"/>
              <w:ind w:left="945" w:leftChars="450" w:firstLine="120" w:firstLine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 音乐对象主体的意识</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二、价值观</w:t>
            </w:r>
          </w:p>
          <w:p>
            <w:pPr>
              <w:spacing w:line="480" w:lineRule="exact"/>
              <w:ind w:left="945" w:leftChars="450" w:firstLine="120" w:firstLine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1.阻碍民族音乐学发展的价值观</w:t>
            </w:r>
          </w:p>
          <w:p>
            <w:pPr>
              <w:spacing w:line="480" w:lineRule="exact"/>
              <w:ind w:left="1050" w:leftChars="5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2.文化相对主义价值观</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三、时空观</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1.音乐事象的时间观念</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2.音乐事象的空间观念</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3.音乐事象的时空统一观</w:t>
            </w:r>
          </w:p>
          <w:p>
            <w:pPr>
              <w:spacing w:line="480" w:lineRule="exact"/>
              <w:ind w:left="1050" w:leftChars="5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四、质量观</w:t>
            </w:r>
          </w:p>
          <w:p>
            <w:pPr>
              <w:spacing w:line="480" w:lineRule="exact"/>
              <w:ind w:left="1050" w:leftChars="5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1.音乐事物的质</w:t>
            </w:r>
          </w:p>
          <w:p>
            <w:pPr>
              <w:spacing w:line="480" w:lineRule="exact"/>
              <w:ind w:left="1050" w:leftChars="5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2.音乐事物的量</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3.质量比较和质量转化</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五、网络观</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1.整体的观点</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2.联系和制约的观点 </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3.有序的观点</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4.动态的观点</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5.最佳的观点</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第四章 实地调查的理论及方法 </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一、经验积累及意义和作用再认识</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1.中国近现代音乐实地调查经验积累</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2.科学意义和作用再认识</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二、实地调查类型</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1.横向分类形态</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2.纵向分类形式</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三、调查前的理论及技术准备阶段</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1.分析现状、明确目的和选择类型</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2.现状资料的收集和熟悉</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3.拟定调查提纲</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四、实地调查方法与若干原则</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1.实地调查方法</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2.消除文化“文化隔膜”的基本原则</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3.采集音乐资料的基本原则</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五、音乐资料储存理论及技巧</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1.现场笔记及工作日志</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2.录音、照相和录像</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3.实物收集</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4.记谱、译谱和绘图</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5.资料储存的综合整理 </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第五章 描述与解释 </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一、音乐描述</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1.描述的一般原理及类型</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2.声音形态描述</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3.响器形态描述</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4.音乐描述中的名称和术语</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二、音乐解释</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1.历史材料阐述</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2.连续比较阐述</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3.模式分析阐述</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4.音乐解释的的支持与验证</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第六章 民族音乐学著述类型 </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一、乐志性著述</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1.音乐调查报告</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2.音乐文献综述</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3.音乐概述</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4.音乐概论与音乐专论的关系和区别</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二、乐论性质著述</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1.音乐专论</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2.音乐文献综论</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3.音乐概述</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4.音乐志</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第七章 民族音乐学的学术论文及其写作 </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一、民族音乐学论文特征</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1.实证性</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2.思辨性</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3.创见性</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二、学术论文的选题</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1.选题的重要性</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2.以音乐本为中心的选题</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3.选题方式和通用原则</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三、研究材料搜集和使用</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1.搜集研究材料的意义</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2.研究材料的搜集的基本原则</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3.材料来源和搜集方式</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4.研究材料原创性含量</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四、写作程序与方法</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1.确立论点</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2.拟写写作提纲或开题报告</w:t>
            </w:r>
          </w:p>
          <w:p>
            <w:pPr>
              <w:spacing w:line="480" w:lineRule="exact"/>
              <w:ind w:left="1170" w:leftChars="500" w:hanging="120" w:hanging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3.撰写成文</w:t>
            </w:r>
          </w:p>
          <w:p>
            <w:pPr>
              <w:widowControl/>
              <w:spacing w:line="480" w:lineRule="exact"/>
              <w:jc w:val="left"/>
              <w:rPr>
                <w:rFonts w:hint="eastAsia" w:ascii="仿宋" w:hAnsi="仿宋" w:eastAsia="仿宋" w:cs="仿宋"/>
                <w:kern w:val="0"/>
                <w:sz w:val="24"/>
              </w:rPr>
            </w:pPr>
          </w:p>
          <w:p>
            <w:pPr>
              <w:widowControl/>
              <w:spacing w:line="480" w:lineRule="exact"/>
              <w:ind w:firstLine="360" w:firstLineChars="150"/>
              <w:jc w:val="left"/>
              <w:rPr>
                <w:rFonts w:hint="eastAsia" w:ascii="仿宋" w:hAnsi="仿宋" w:eastAsia="仿宋" w:cs="仿宋"/>
                <w:kern w:val="0"/>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5D586A"/>
    <w:multiLevelType w:val="multilevel"/>
    <w:tmpl w:val="665D586A"/>
    <w:lvl w:ilvl="0" w:tentative="0">
      <w:start w:val="1"/>
      <w:numFmt w:val="decimal"/>
      <w:lvlText w:val="%1."/>
      <w:lvlJc w:val="left"/>
      <w:pPr>
        <w:ind w:left="1335" w:hanging="360"/>
      </w:pPr>
      <w:rPr>
        <w:rFonts w:hint="default"/>
      </w:rPr>
    </w:lvl>
    <w:lvl w:ilvl="1" w:tentative="0">
      <w:start w:val="1"/>
      <w:numFmt w:val="lowerLetter"/>
      <w:lvlText w:val="%2)"/>
      <w:lvlJc w:val="left"/>
      <w:pPr>
        <w:ind w:left="1815" w:hanging="420"/>
      </w:pPr>
    </w:lvl>
    <w:lvl w:ilvl="2" w:tentative="0">
      <w:start w:val="1"/>
      <w:numFmt w:val="lowerRoman"/>
      <w:lvlText w:val="%3."/>
      <w:lvlJc w:val="right"/>
      <w:pPr>
        <w:ind w:left="2235" w:hanging="420"/>
      </w:pPr>
    </w:lvl>
    <w:lvl w:ilvl="3" w:tentative="0">
      <w:start w:val="1"/>
      <w:numFmt w:val="decimal"/>
      <w:lvlText w:val="%4."/>
      <w:lvlJc w:val="left"/>
      <w:pPr>
        <w:ind w:left="2655" w:hanging="420"/>
      </w:pPr>
    </w:lvl>
    <w:lvl w:ilvl="4" w:tentative="0">
      <w:start w:val="1"/>
      <w:numFmt w:val="lowerLetter"/>
      <w:lvlText w:val="%5)"/>
      <w:lvlJc w:val="left"/>
      <w:pPr>
        <w:ind w:left="3075" w:hanging="420"/>
      </w:pPr>
    </w:lvl>
    <w:lvl w:ilvl="5" w:tentative="0">
      <w:start w:val="1"/>
      <w:numFmt w:val="lowerRoman"/>
      <w:lvlText w:val="%6."/>
      <w:lvlJc w:val="right"/>
      <w:pPr>
        <w:ind w:left="3495" w:hanging="420"/>
      </w:pPr>
    </w:lvl>
    <w:lvl w:ilvl="6" w:tentative="0">
      <w:start w:val="1"/>
      <w:numFmt w:val="decimal"/>
      <w:lvlText w:val="%7."/>
      <w:lvlJc w:val="left"/>
      <w:pPr>
        <w:ind w:left="3915" w:hanging="420"/>
      </w:pPr>
    </w:lvl>
    <w:lvl w:ilvl="7" w:tentative="0">
      <w:start w:val="1"/>
      <w:numFmt w:val="lowerLetter"/>
      <w:lvlText w:val="%8)"/>
      <w:lvlJc w:val="left"/>
      <w:pPr>
        <w:ind w:left="4335" w:hanging="420"/>
      </w:pPr>
    </w:lvl>
    <w:lvl w:ilvl="8" w:tentative="0">
      <w:start w:val="1"/>
      <w:numFmt w:val="lowerRoman"/>
      <w:lvlText w:val="%9."/>
      <w:lvlJc w:val="right"/>
      <w:pPr>
        <w:ind w:left="475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9C0D86"/>
    <w:rsid w:val="0D937784"/>
    <w:rsid w:val="2DC61FDE"/>
    <w:rsid w:val="54677CE0"/>
    <w:rsid w:val="55DE106E"/>
    <w:rsid w:val="5D4F7DD2"/>
    <w:rsid w:val="70CC32A4"/>
    <w:rsid w:val="7D474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widowControl/>
      <w:adjustRightInd w:val="0"/>
      <w:snapToGrid w:val="0"/>
      <w:spacing w:after="200"/>
      <w:ind w:firstLine="420" w:firstLineChars="200"/>
      <w:jc w:val="left"/>
    </w:pPr>
    <w:rPr>
      <w:rFonts w:ascii="Tahoma" w:hAnsi="Tahoma" w:eastAsia="微软雅黑" w:cstheme="minorBidi"/>
      <w:kern w:val="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yl252</dc:creator>
  <cp:lastModifiedBy>mk</cp:lastModifiedBy>
  <dcterms:modified xsi:type="dcterms:W3CDTF">2018-09-07T02:42:18Z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